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7326" w14:textId="4639270F" w:rsidR="007C2F2A" w:rsidRDefault="00893DAD" w:rsidP="007C2F2A">
      <w:r>
        <w:t>Conversation Sarter</w:t>
      </w:r>
    </w:p>
    <w:p w14:paraId="6C774C0C" w14:textId="18A6F189" w:rsidR="007C2F2A" w:rsidRDefault="007C2F2A" w:rsidP="007C2F2A">
      <w:pPr>
        <w:rPr>
          <w:b/>
          <w:bCs/>
        </w:rPr>
      </w:pPr>
      <w:r>
        <w:rPr>
          <w:b/>
          <w:bCs/>
        </w:rPr>
        <w:t xml:space="preserve">Resilience Improvement Plan </w:t>
      </w:r>
      <w:r w:rsidR="00E12C3A">
        <w:rPr>
          <w:b/>
          <w:bCs/>
        </w:rPr>
        <w:t xml:space="preserve">BIL </w:t>
      </w:r>
      <w:r w:rsidR="00B1110A">
        <w:rPr>
          <w:b/>
          <w:bCs/>
        </w:rPr>
        <w:t xml:space="preserve">Language </w:t>
      </w:r>
      <w:r w:rsidR="00E12C3A">
        <w:rPr>
          <w:b/>
          <w:bCs/>
        </w:rPr>
        <w:t xml:space="preserve">- </w:t>
      </w:r>
      <w:r>
        <w:rPr>
          <w:b/>
          <w:bCs/>
        </w:rPr>
        <w:t xml:space="preserve">23 USC 176(e) </w:t>
      </w:r>
    </w:p>
    <w:p w14:paraId="37AD60FF" w14:textId="77777777" w:rsidR="007C2F2A" w:rsidRDefault="007C2F2A" w:rsidP="007C2F2A"/>
    <w:tbl>
      <w:tblPr>
        <w:tblW w:w="93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4535"/>
        <w:gridCol w:w="2845"/>
      </w:tblGrid>
      <w:tr w:rsidR="007C2F2A" w14:paraId="1D1C4466" w14:textId="77777777" w:rsidTr="00B1110A">
        <w:tc>
          <w:tcPr>
            <w:tcW w:w="1935" w:type="dxa"/>
            <w:tcBorders>
              <w:top w:val="single" w:sz="8" w:space="0" w:color="000000"/>
              <w:left w:val="single" w:sz="8" w:space="0" w:color="000000"/>
              <w:bottom w:val="single" w:sz="8" w:space="0" w:color="000000"/>
              <w:right w:val="single" w:sz="8" w:space="0" w:color="000000"/>
            </w:tcBorders>
            <w:shd w:val="clear" w:color="auto" w:fill="E7E6E6"/>
            <w:hideMark/>
          </w:tcPr>
          <w:p w14:paraId="116EDB33"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Topic</w:t>
            </w:r>
            <w:r>
              <w:rPr>
                <w:rFonts w:ascii="Times New Roman" w:hAnsi="Times New Roman" w:cs="Times New Roman"/>
                <w:color w:val="000000"/>
                <w:sz w:val="24"/>
                <w:szCs w:val="24"/>
              </w:rPr>
              <w:t> </w:t>
            </w:r>
          </w:p>
        </w:tc>
        <w:tc>
          <w:tcPr>
            <w:tcW w:w="4535" w:type="dxa"/>
            <w:tcBorders>
              <w:top w:val="single" w:sz="8" w:space="0" w:color="000000"/>
              <w:left w:val="nil"/>
              <w:bottom w:val="single" w:sz="8" w:space="0" w:color="000000"/>
              <w:right w:val="single" w:sz="8" w:space="0" w:color="000000"/>
            </w:tcBorders>
            <w:shd w:val="clear" w:color="auto" w:fill="E7E6E6"/>
            <w:hideMark/>
          </w:tcPr>
          <w:p w14:paraId="64DBEEB8"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Citation</w:t>
            </w:r>
            <w:r>
              <w:rPr>
                <w:rFonts w:ascii="Times New Roman" w:hAnsi="Times New Roman" w:cs="Times New Roman"/>
                <w:color w:val="000000"/>
                <w:sz w:val="24"/>
                <w:szCs w:val="24"/>
              </w:rPr>
              <w:t> </w:t>
            </w:r>
          </w:p>
        </w:tc>
        <w:tc>
          <w:tcPr>
            <w:tcW w:w="2845" w:type="dxa"/>
            <w:tcBorders>
              <w:top w:val="single" w:sz="8" w:space="0" w:color="000000"/>
              <w:left w:val="nil"/>
              <w:bottom w:val="single" w:sz="8" w:space="0" w:color="000000"/>
              <w:right w:val="single" w:sz="8" w:space="0" w:color="000000"/>
            </w:tcBorders>
            <w:shd w:val="clear" w:color="auto" w:fill="E7E6E6"/>
            <w:hideMark/>
          </w:tcPr>
          <w:p w14:paraId="6461F5B6" w14:textId="09D9D4BB"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Notes</w:t>
            </w:r>
          </w:p>
        </w:tc>
      </w:tr>
      <w:tr w:rsidR="007C2F2A" w14:paraId="1523F486" w14:textId="77777777" w:rsidTr="007C2F2A">
        <w:tc>
          <w:tcPr>
            <w:tcW w:w="9315" w:type="dxa"/>
            <w:gridSpan w:val="3"/>
            <w:tcBorders>
              <w:top w:val="nil"/>
              <w:left w:val="single" w:sz="8" w:space="0" w:color="000000"/>
              <w:bottom w:val="single" w:sz="8" w:space="0" w:color="000000"/>
              <w:right w:val="single" w:sz="8" w:space="0" w:color="000000"/>
            </w:tcBorders>
            <w:shd w:val="clear" w:color="auto" w:fill="E7E6E6"/>
            <w:hideMark/>
          </w:tcPr>
          <w:p w14:paraId="6078CB81" w14:textId="09A88AFD" w:rsidR="007C2F2A" w:rsidRDefault="00B1110A">
            <w:pPr>
              <w:textAlignment w:val="baseline"/>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The Plan </w:t>
            </w:r>
            <w:proofErr w:type="gramStart"/>
            <w:r w:rsidR="007C2F2A">
              <w:rPr>
                <w:rFonts w:ascii="Times New Roman" w:hAnsi="Times New Roman" w:cs="Times New Roman"/>
                <w:b/>
                <w:bCs/>
                <w:i/>
                <w:iCs/>
                <w:color w:val="000000"/>
                <w:sz w:val="24"/>
                <w:szCs w:val="24"/>
              </w:rPr>
              <w:t>Shall..</w:t>
            </w:r>
            <w:proofErr w:type="gramEnd"/>
          </w:p>
        </w:tc>
      </w:tr>
      <w:tr w:rsidR="007C2F2A" w14:paraId="76EB4342" w14:textId="77777777" w:rsidTr="00B1110A">
        <w:tc>
          <w:tcPr>
            <w:tcW w:w="1935" w:type="dxa"/>
            <w:tcBorders>
              <w:top w:val="nil"/>
              <w:left w:val="single" w:sz="8" w:space="0" w:color="000000"/>
              <w:bottom w:val="single" w:sz="8" w:space="0" w:color="000000"/>
              <w:right w:val="single" w:sz="8" w:space="0" w:color="000000"/>
            </w:tcBorders>
            <w:hideMark/>
          </w:tcPr>
          <w:p w14:paraId="1F68784C"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Encompass immediate and long-range planning activities</w:t>
            </w:r>
            <w:r>
              <w:rPr>
                <w:rFonts w:ascii="Times New Roman" w:hAnsi="Times New Roman" w:cs="Times New Roman"/>
                <w:color w:val="000000"/>
                <w:sz w:val="24"/>
                <w:szCs w:val="24"/>
              </w:rPr>
              <w:t> </w:t>
            </w:r>
          </w:p>
        </w:tc>
        <w:tc>
          <w:tcPr>
            <w:tcW w:w="4535" w:type="dxa"/>
            <w:tcBorders>
              <w:top w:val="nil"/>
              <w:left w:val="nil"/>
              <w:bottom w:val="single" w:sz="8" w:space="0" w:color="000000"/>
              <w:right w:val="single" w:sz="8" w:space="0" w:color="000000"/>
            </w:tcBorders>
            <w:hideMark/>
          </w:tcPr>
          <w:p w14:paraId="05DBB742"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xml:space="preserve">(A) shall be for the </w:t>
            </w:r>
            <w:r>
              <w:rPr>
                <w:rFonts w:ascii="Times New Roman" w:hAnsi="Times New Roman" w:cs="Times New Roman"/>
                <w:b/>
                <w:bCs/>
                <w:color w:val="000000"/>
                <w:sz w:val="24"/>
                <w:szCs w:val="24"/>
              </w:rPr>
              <w:t xml:space="preserve">immediate and long-range </w:t>
            </w:r>
            <w:r>
              <w:rPr>
                <w:rFonts w:ascii="Times New Roman" w:hAnsi="Times New Roman" w:cs="Times New Roman"/>
                <w:color w:val="000000"/>
                <w:sz w:val="24"/>
                <w:szCs w:val="24"/>
              </w:rPr>
              <w:t>planning activities and investments of the State or metropolitan planning organization with respect to resilience of the surface transportation system within the boundaries of the State or metropolitan planning organization, as applicable </w:t>
            </w:r>
          </w:p>
          <w:p w14:paraId="59120291"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c>
          <w:tcPr>
            <w:tcW w:w="2845" w:type="dxa"/>
            <w:tcBorders>
              <w:top w:val="nil"/>
              <w:left w:val="nil"/>
              <w:bottom w:val="single" w:sz="8" w:space="0" w:color="000000"/>
              <w:right w:val="single" w:sz="8" w:space="0" w:color="000000"/>
            </w:tcBorders>
          </w:tcPr>
          <w:p w14:paraId="22F9593B" w14:textId="26693BE2" w:rsidR="007C2F2A" w:rsidRDefault="007C2F2A">
            <w:pPr>
              <w:textAlignment w:val="baseline"/>
              <w:rPr>
                <w:rFonts w:ascii="Segoe UI" w:hAnsi="Segoe UI" w:cs="Segoe UI"/>
                <w:sz w:val="18"/>
                <w:szCs w:val="18"/>
              </w:rPr>
            </w:pPr>
          </w:p>
          <w:p w14:paraId="2E2B072C" w14:textId="5153BBA2" w:rsidR="00893DAD" w:rsidRPr="00893DAD" w:rsidRDefault="00893DAD">
            <w:pPr>
              <w:textAlignment w:val="baseline"/>
              <w:rPr>
                <w:rFonts w:ascii="Segoe UI" w:hAnsi="Segoe UI" w:cs="Segoe UI"/>
                <w:color w:val="0070C0"/>
                <w:sz w:val="18"/>
                <w:szCs w:val="18"/>
              </w:rPr>
            </w:pPr>
            <w:r w:rsidRPr="00893DAD">
              <w:rPr>
                <w:rFonts w:ascii="Segoe UI" w:hAnsi="Segoe UI" w:cs="Segoe UI"/>
                <w:color w:val="0070C0"/>
                <w:sz w:val="18"/>
                <w:szCs w:val="18"/>
              </w:rPr>
              <w:t>For each of these</w:t>
            </w:r>
            <w:r>
              <w:rPr>
                <w:rFonts w:ascii="Segoe UI" w:hAnsi="Segoe UI" w:cs="Segoe UI"/>
                <w:color w:val="0070C0"/>
                <w:sz w:val="18"/>
                <w:szCs w:val="18"/>
              </w:rPr>
              <w:t>…</w:t>
            </w:r>
            <w:r w:rsidRPr="00893DAD">
              <w:rPr>
                <w:rFonts w:ascii="Segoe UI" w:hAnsi="Segoe UI" w:cs="Segoe UI"/>
                <w:color w:val="0070C0"/>
                <w:sz w:val="18"/>
                <w:szCs w:val="18"/>
              </w:rPr>
              <w:t xml:space="preserve"> </w:t>
            </w:r>
          </w:p>
          <w:p w14:paraId="22CCD23B" w14:textId="74F2EC89" w:rsidR="007C2F2A" w:rsidRPr="00893DAD" w:rsidRDefault="00893DAD" w:rsidP="00893DAD">
            <w:pPr>
              <w:pStyle w:val="ListParagraph"/>
              <w:numPr>
                <w:ilvl w:val="0"/>
                <w:numId w:val="2"/>
              </w:numPr>
              <w:textAlignment w:val="baseline"/>
              <w:rPr>
                <w:rFonts w:ascii="Segoe UI" w:eastAsia="Times New Roman" w:hAnsi="Segoe UI" w:cs="Segoe UI"/>
                <w:color w:val="0070C0"/>
                <w:sz w:val="18"/>
                <w:szCs w:val="18"/>
              </w:rPr>
            </w:pPr>
            <w:r w:rsidRPr="00893DAD">
              <w:rPr>
                <w:rFonts w:ascii="Segoe UI" w:eastAsia="Times New Roman" w:hAnsi="Segoe UI" w:cs="Segoe UI"/>
                <w:color w:val="0070C0"/>
                <w:sz w:val="18"/>
                <w:szCs w:val="18"/>
              </w:rPr>
              <w:t>How is this represented in the RIP?</w:t>
            </w:r>
          </w:p>
          <w:p w14:paraId="03830D5E" w14:textId="3551F55D" w:rsidR="00893DAD" w:rsidRPr="00893DAD" w:rsidRDefault="00893DAD" w:rsidP="00893DAD">
            <w:pPr>
              <w:pStyle w:val="ListParagraph"/>
              <w:numPr>
                <w:ilvl w:val="0"/>
                <w:numId w:val="2"/>
              </w:numPr>
              <w:textAlignment w:val="baseline"/>
              <w:rPr>
                <w:rFonts w:ascii="Segoe UI" w:eastAsia="Times New Roman" w:hAnsi="Segoe UI" w:cs="Segoe UI"/>
                <w:color w:val="0070C0"/>
                <w:sz w:val="18"/>
                <w:szCs w:val="18"/>
              </w:rPr>
            </w:pPr>
            <w:r w:rsidRPr="00893DAD">
              <w:rPr>
                <w:rFonts w:ascii="Segoe UI" w:eastAsia="Times New Roman" w:hAnsi="Segoe UI" w:cs="Segoe UI"/>
                <w:color w:val="0070C0"/>
                <w:sz w:val="18"/>
                <w:szCs w:val="18"/>
              </w:rPr>
              <w:t>Questions</w:t>
            </w:r>
            <w:r>
              <w:rPr>
                <w:rFonts w:ascii="Segoe UI" w:eastAsia="Times New Roman" w:hAnsi="Segoe UI" w:cs="Segoe UI"/>
                <w:color w:val="0070C0"/>
                <w:sz w:val="18"/>
                <w:szCs w:val="18"/>
              </w:rPr>
              <w:t>/topics for discussion</w:t>
            </w:r>
            <w:r w:rsidRPr="00893DAD">
              <w:rPr>
                <w:rFonts w:ascii="Segoe UI" w:eastAsia="Times New Roman" w:hAnsi="Segoe UI" w:cs="Segoe UI"/>
                <w:color w:val="0070C0"/>
                <w:sz w:val="18"/>
                <w:szCs w:val="18"/>
              </w:rPr>
              <w:t>?</w:t>
            </w:r>
          </w:p>
          <w:p w14:paraId="26A9F4D5" w14:textId="77777777" w:rsidR="007C2F2A" w:rsidRDefault="007C2F2A">
            <w:pPr>
              <w:textAlignment w:val="baseline"/>
              <w:rPr>
                <w:rFonts w:ascii="Segoe UI" w:hAnsi="Segoe UI" w:cs="Segoe UI"/>
                <w:color w:val="0070C0"/>
                <w:sz w:val="18"/>
                <w:szCs w:val="18"/>
              </w:rPr>
            </w:pPr>
          </w:p>
          <w:p w14:paraId="61224939" w14:textId="77777777" w:rsidR="007C2F2A" w:rsidRDefault="007C2F2A">
            <w:pPr>
              <w:textAlignment w:val="baseline"/>
              <w:rPr>
                <w:rFonts w:ascii="Segoe UI" w:hAnsi="Segoe UI" w:cs="Segoe UI"/>
                <w:color w:val="0070C0"/>
                <w:sz w:val="18"/>
                <w:szCs w:val="18"/>
              </w:rPr>
            </w:pPr>
          </w:p>
          <w:p w14:paraId="7B5FF23C"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p w14:paraId="2ADCE288"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r>
      <w:tr w:rsidR="007C2F2A" w14:paraId="3AE42B5B" w14:textId="77777777" w:rsidTr="00B1110A">
        <w:trPr>
          <w:trHeight w:val="1200"/>
        </w:trPr>
        <w:tc>
          <w:tcPr>
            <w:tcW w:w="1935" w:type="dxa"/>
            <w:tcBorders>
              <w:top w:val="nil"/>
              <w:left w:val="single" w:sz="8" w:space="0" w:color="000000"/>
              <w:bottom w:val="single" w:sz="8" w:space="0" w:color="000000"/>
              <w:right w:val="single" w:sz="8" w:space="0" w:color="000000"/>
            </w:tcBorders>
            <w:hideMark/>
          </w:tcPr>
          <w:p w14:paraId="3A804299"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Demonstrate a System-wide approach</w:t>
            </w:r>
            <w:r>
              <w:rPr>
                <w:rFonts w:ascii="Times New Roman" w:hAnsi="Times New Roman" w:cs="Times New Roman"/>
                <w:color w:val="000000"/>
                <w:sz w:val="24"/>
                <w:szCs w:val="24"/>
              </w:rPr>
              <w:t> </w:t>
            </w:r>
          </w:p>
        </w:tc>
        <w:tc>
          <w:tcPr>
            <w:tcW w:w="4535" w:type="dxa"/>
            <w:tcBorders>
              <w:top w:val="nil"/>
              <w:left w:val="nil"/>
              <w:bottom w:val="single" w:sz="8" w:space="0" w:color="000000"/>
              <w:right w:val="single" w:sz="8" w:space="0" w:color="000000"/>
            </w:tcBorders>
            <w:hideMark/>
          </w:tcPr>
          <w:p w14:paraId="6587B8BA"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xml:space="preserve">(B) shall demonstrate a </w:t>
            </w:r>
            <w:r>
              <w:rPr>
                <w:rFonts w:ascii="Times New Roman" w:hAnsi="Times New Roman" w:cs="Times New Roman"/>
                <w:b/>
                <w:bCs/>
                <w:color w:val="000000"/>
                <w:sz w:val="24"/>
                <w:szCs w:val="24"/>
              </w:rPr>
              <w:t>systemic approach</w:t>
            </w:r>
            <w:r>
              <w:rPr>
                <w:rFonts w:ascii="Times New Roman" w:hAnsi="Times New Roman" w:cs="Times New Roman"/>
                <w:color w:val="000000"/>
                <w:sz w:val="24"/>
                <w:szCs w:val="24"/>
              </w:rPr>
              <w:t xml:space="preserve"> to surface transportation system resilience, and  </w:t>
            </w:r>
          </w:p>
        </w:tc>
        <w:tc>
          <w:tcPr>
            <w:tcW w:w="2845" w:type="dxa"/>
            <w:tcBorders>
              <w:top w:val="nil"/>
              <w:left w:val="nil"/>
              <w:bottom w:val="single" w:sz="8" w:space="0" w:color="000000"/>
              <w:right w:val="single" w:sz="8" w:space="0" w:color="000000"/>
            </w:tcBorders>
            <w:hideMark/>
          </w:tcPr>
          <w:p w14:paraId="22C6ACE9"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r>
      <w:tr w:rsidR="007C2F2A" w14:paraId="094B3F44" w14:textId="77777777" w:rsidTr="00B1110A">
        <w:tc>
          <w:tcPr>
            <w:tcW w:w="1935" w:type="dxa"/>
            <w:tcBorders>
              <w:top w:val="nil"/>
              <w:left w:val="single" w:sz="8" w:space="0" w:color="000000"/>
              <w:bottom w:val="single" w:sz="8" w:space="0" w:color="000000"/>
              <w:right w:val="single" w:sz="8" w:space="0" w:color="000000"/>
            </w:tcBorders>
            <w:hideMark/>
          </w:tcPr>
          <w:p w14:paraId="5E600B30"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Consistency with State and local hazard mitigation plans</w:t>
            </w:r>
            <w:r>
              <w:rPr>
                <w:rFonts w:ascii="Times New Roman" w:hAnsi="Times New Roman" w:cs="Times New Roman"/>
                <w:color w:val="000000"/>
                <w:sz w:val="24"/>
                <w:szCs w:val="24"/>
              </w:rPr>
              <w:t> </w:t>
            </w:r>
          </w:p>
        </w:tc>
        <w:tc>
          <w:tcPr>
            <w:tcW w:w="4535" w:type="dxa"/>
            <w:tcBorders>
              <w:top w:val="nil"/>
              <w:left w:val="nil"/>
              <w:bottom w:val="single" w:sz="8" w:space="0" w:color="000000"/>
              <w:right w:val="single" w:sz="8" w:space="0" w:color="000000"/>
            </w:tcBorders>
            <w:hideMark/>
          </w:tcPr>
          <w:p w14:paraId="259A1511"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(B) ...be consistent with and complementary of the State and local mitigation plans required under section 322 of the Robert T. Stafford Disaster Relief and Emergency Assistance Act (</w:t>
            </w:r>
            <w:r>
              <w:rPr>
                <w:rFonts w:ascii="Times New Roman" w:hAnsi="Times New Roman" w:cs="Times New Roman"/>
                <w:color w:val="0F0D61"/>
                <w:sz w:val="24"/>
                <w:szCs w:val="24"/>
              </w:rPr>
              <w:t>42 U.S.C. 5165</w:t>
            </w:r>
            <w:r>
              <w:rPr>
                <w:rFonts w:ascii="Times New Roman" w:hAnsi="Times New Roman" w:cs="Times New Roman"/>
                <w:color w:val="000000"/>
                <w:sz w:val="24"/>
                <w:szCs w:val="24"/>
              </w:rPr>
              <w:t>) </w:t>
            </w:r>
          </w:p>
        </w:tc>
        <w:tc>
          <w:tcPr>
            <w:tcW w:w="2845" w:type="dxa"/>
            <w:tcBorders>
              <w:top w:val="nil"/>
              <w:left w:val="nil"/>
              <w:bottom w:val="single" w:sz="8" w:space="0" w:color="000000"/>
              <w:right w:val="single" w:sz="8" w:space="0" w:color="000000"/>
            </w:tcBorders>
          </w:tcPr>
          <w:p w14:paraId="232704D8" w14:textId="77777777" w:rsidR="007C2F2A" w:rsidRDefault="007C2F2A">
            <w:pPr>
              <w:textAlignment w:val="baseline"/>
              <w:rPr>
                <w:rFonts w:ascii="Segoe UI" w:hAnsi="Segoe UI" w:cs="Segoe UI"/>
                <w:sz w:val="18"/>
                <w:szCs w:val="18"/>
              </w:rPr>
            </w:pPr>
          </w:p>
          <w:p w14:paraId="2AF199E1"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p w14:paraId="11A90430" w14:textId="77777777" w:rsidR="007C2F2A" w:rsidRDefault="007C2F2A">
            <w:pPr>
              <w:textAlignment w:val="baseline"/>
              <w:rPr>
                <w:rFonts w:ascii="Segoe UI" w:hAnsi="Segoe UI" w:cs="Segoe UI"/>
                <w:sz w:val="18"/>
                <w:szCs w:val="18"/>
              </w:rPr>
            </w:pPr>
          </w:p>
          <w:p w14:paraId="1C1268CD"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r>
      <w:tr w:rsidR="007C2F2A" w14:paraId="68E2A20A" w14:textId="77777777" w:rsidTr="00B1110A">
        <w:tc>
          <w:tcPr>
            <w:tcW w:w="1935" w:type="dxa"/>
            <w:tcBorders>
              <w:top w:val="nil"/>
              <w:left w:val="single" w:sz="8" w:space="0" w:color="000000"/>
              <w:bottom w:val="single" w:sz="8" w:space="0" w:color="000000"/>
              <w:right w:val="single" w:sz="8" w:space="0" w:color="000000"/>
            </w:tcBorders>
            <w:hideMark/>
          </w:tcPr>
          <w:p w14:paraId="26C6CF6C"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Risk-based assessment of assets and systems</w:t>
            </w:r>
            <w:r>
              <w:rPr>
                <w:rFonts w:ascii="Times New Roman" w:hAnsi="Times New Roman" w:cs="Times New Roman"/>
                <w:color w:val="000000"/>
                <w:sz w:val="24"/>
                <w:szCs w:val="24"/>
              </w:rPr>
              <w:t> </w:t>
            </w:r>
          </w:p>
        </w:tc>
        <w:tc>
          <w:tcPr>
            <w:tcW w:w="4535" w:type="dxa"/>
            <w:tcBorders>
              <w:top w:val="nil"/>
              <w:left w:val="nil"/>
              <w:bottom w:val="single" w:sz="8" w:space="0" w:color="000000"/>
              <w:right w:val="single" w:sz="8" w:space="0" w:color="000000"/>
            </w:tcBorders>
            <w:hideMark/>
          </w:tcPr>
          <w:p w14:paraId="34103328" w14:textId="77777777" w:rsidR="007C2F2A" w:rsidRDefault="007C2F2A">
            <w:pP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(C) shall include a </w:t>
            </w:r>
            <w:r>
              <w:rPr>
                <w:rFonts w:ascii="Times New Roman" w:hAnsi="Times New Roman" w:cs="Times New Roman"/>
                <w:b/>
                <w:bCs/>
                <w:color w:val="000000"/>
                <w:sz w:val="24"/>
                <w:szCs w:val="24"/>
              </w:rPr>
              <w:t>risk-based assessment</w:t>
            </w:r>
            <w:r>
              <w:rPr>
                <w:rFonts w:ascii="Times New Roman" w:hAnsi="Times New Roman" w:cs="Times New Roman"/>
                <w:color w:val="000000"/>
                <w:sz w:val="24"/>
                <w:szCs w:val="24"/>
              </w:rPr>
              <w:t xml:space="preserve"> of vulnerabilities of transportation </w:t>
            </w:r>
            <w:r>
              <w:rPr>
                <w:rFonts w:ascii="Times New Roman" w:hAnsi="Times New Roman" w:cs="Times New Roman"/>
                <w:b/>
                <w:bCs/>
                <w:color w:val="000000"/>
                <w:sz w:val="24"/>
                <w:szCs w:val="24"/>
              </w:rPr>
              <w:t>assets</w:t>
            </w:r>
            <w:r>
              <w:rPr>
                <w:rFonts w:ascii="Times New Roman" w:hAnsi="Times New Roman" w:cs="Times New Roman"/>
                <w:color w:val="000000"/>
                <w:sz w:val="24"/>
                <w:szCs w:val="24"/>
              </w:rPr>
              <w:t xml:space="preserve"> and </w:t>
            </w:r>
            <w:r>
              <w:rPr>
                <w:rFonts w:ascii="Times New Roman" w:hAnsi="Times New Roman" w:cs="Times New Roman"/>
                <w:b/>
                <w:bCs/>
                <w:color w:val="000000"/>
                <w:sz w:val="24"/>
                <w:szCs w:val="24"/>
              </w:rPr>
              <w:t>systems</w:t>
            </w:r>
            <w:r>
              <w:rPr>
                <w:rFonts w:ascii="Times New Roman" w:hAnsi="Times New Roman" w:cs="Times New Roman"/>
                <w:color w:val="000000"/>
                <w:sz w:val="24"/>
                <w:szCs w:val="24"/>
              </w:rPr>
              <w:t xml:space="preserve"> to </w:t>
            </w:r>
            <w:r>
              <w:rPr>
                <w:rFonts w:ascii="Times New Roman" w:hAnsi="Times New Roman" w:cs="Times New Roman"/>
                <w:b/>
                <w:bCs/>
                <w:color w:val="000000"/>
                <w:sz w:val="24"/>
                <w:szCs w:val="24"/>
              </w:rPr>
              <w:t xml:space="preserve">current </w:t>
            </w:r>
            <w:r>
              <w:rPr>
                <w:rFonts w:ascii="Times New Roman" w:hAnsi="Times New Roman" w:cs="Times New Roman"/>
                <w:color w:val="000000"/>
                <w:sz w:val="24"/>
                <w:szCs w:val="24"/>
              </w:rPr>
              <w:t>and</w:t>
            </w:r>
            <w:r>
              <w:rPr>
                <w:rFonts w:ascii="Times New Roman" w:hAnsi="Times New Roman" w:cs="Times New Roman"/>
                <w:b/>
                <w:bCs/>
                <w:color w:val="000000"/>
                <w:sz w:val="24"/>
                <w:szCs w:val="24"/>
              </w:rPr>
              <w:t xml:space="preserve"> future weather events</w:t>
            </w:r>
            <w:r>
              <w:rPr>
                <w:rFonts w:ascii="Times New Roman" w:hAnsi="Times New Roman" w:cs="Times New Roman"/>
                <w:color w:val="000000"/>
                <w:sz w:val="24"/>
                <w:szCs w:val="24"/>
              </w:rPr>
              <w:t xml:space="preserve"> and natural disasters, such as severe storms, flooding, drought, levee and dam failures, wildfire, rockslides, mudslides, sea level rise, extreme weather, including extreme temperatures, and earthquakes (23 U.S.C.</w:t>
            </w:r>
          </w:p>
          <w:p w14:paraId="6C8765F6"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176(e)(</w:t>
            </w:r>
            <w:proofErr w:type="gramStart"/>
            <w:r>
              <w:rPr>
                <w:rFonts w:ascii="Times New Roman" w:hAnsi="Times New Roman" w:cs="Times New Roman"/>
                <w:color w:val="000000"/>
                <w:sz w:val="24"/>
                <w:szCs w:val="24"/>
              </w:rPr>
              <w:t>2)(</w:t>
            </w:r>
            <w:proofErr w:type="gramEnd"/>
            <w:r>
              <w:rPr>
                <w:rFonts w:ascii="Times New Roman" w:hAnsi="Times New Roman" w:cs="Times New Roman"/>
                <w:color w:val="000000"/>
                <w:sz w:val="24"/>
                <w:szCs w:val="24"/>
              </w:rPr>
              <w:t>A-C)).</w:t>
            </w:r>
          </w:p>
          <w:p w14:paraId="215F85CE"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c>
          <w:tcPr>
            <w:tcW w:w="2845" w:type="dxa"/>
            <w:tcBorders>
              <w:top w:val="nil"/>
              <w:left w:val="nil"/>
              <w:bottom w:val="single" w:sz="8" w:space="0" w:color="000000"/>
              <w:right w:val="single" w:sz="8" w:space="0" w:color="000000"/>
            </w:tcBorders>
            <w:hideMark/>
          </w:tcPr>
          <w:p w14:paraId="689CF7FD"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r>
      <w:tr w:rsidR="007C2F2A" w14:paraId="1C0AA421" w14:textId="77777777" w:rsidTr="007C2F2A">
        <w:tc>
          <w:tcPr>
            <w:tcW w:w="9315" w:type="dxa"/>
            <w:gridSpan w:val="3"/>
            <w:tcBorders>
              <w:top w:val="nil"/>
              <w:left w:val="single" w:sz="8" w:space="0" w:color="000000"/>
              <w:bottom w:val="single" w:sz="8" w:space="0" w:color="000000"/>
              <w:right w:val="single" w:sz="8" w:space="0" w:color="000000"/>
            </w:tcBorders>
            <w:shd w:val="clear" w:color="auto" w:fill="E7E6E6"/>
            <w:hideMark/>
          </w:tcPr>
          <w:p w14:paraId="596F4082" w14:textId="77777777" w:rsidR="007C2F2A" w:rsidRDefault="007C2F2A">
            <w:pPr>
              <w:textAlignment w:val="baseline"/>
              <w:rPr>
                <w:rFonts w:ascii="Segoe UI" w:hAnsi="Segoe UI" w:cs="Segoe UI"/>
                <w:sz w:val="18"/>
                <w:szCs w:val="18"/>
              </w:rPr>
            </w:pPr>
            <w:r>
              <w:rPr>
                <w:rFonts w:ascii="Times New Roman" w:hAnsi="Times New Roman" w:cs="Times New Roman"/>
                <w:b/>
                <w:bCs/>
                <w:i/>
                <w:iCs/>
                <w:color w:val="000000"/>
                <w:sz w:val="24"/>
                <w:szCs w:val="24"/>
              </w:rPr>
              <w:t xml:space="preserve">Shall, as </w:t>
            </w:r>
            <w:proofErr w:type="gramStart"/>
            <w:r>
              <w:rPr>
                <w:rFonts w:ascii="Times New Roman" w:hAnsi="Times New Roman" w:cs="Times New Roman"/>
                <w:b/>
                <w:bCs/>
                <w:i/>
                <w:iCs/>
                <w:color w:val="000000"/>
                <w:sz w:val="24"/>
                <w:szCs w:val="24"/>
              </w:rPr>
              <w:t>appropriate..</w:t>
            </w:r>
            <w:proofErr w:type="gramEnd"/>
            <w:r>
              <w:rPr>
                <w:rFonts w:ascii="Times New Roman" w:hAnsi="Times New Roman" w:cs="Times New Roman"/>
                <w:color w:val="000000"/>
                <w:sz w:val="24"/>
                <w:szCs w:val="24"/>
              </w:rPr>
              <w:t> </w:t>
            </w:r>
          </w:p>
        </w:tc>
      </w:tr>
      <w:tr w:rsidR="007C2F2A" w14:paraId="231945F4" w14:textId="77777777" w:rsidTr="00B1110A">
        <w:tc>
          <w:tcPr>
            <w:tcW w:w="1935" w:type="dxa"/>
            <w:tcBorders>
              <w:top w:val="nil"/>
              <w:left w:val="single" w:sz="8" w:space="0" w:color="000000"/>
              <w:bottom w:val="single" w:sz="8" w:space="0" w:color="000000"/>
              <w:right w:val="single" w:sz="8" w:space="0" w:color="000000"/>
            </w:tcBorders>
            <w:hideMark/>
          </w:tcPr>
          <w:p w14:paraId="5F4744DA"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Natural disaster, extreme weather </w:t>
            </w:r>
          </w:p>
          <w:p w14:paraId="4C29483F"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preparedness </w:t>
            </w:r>
            <w:r>
              <w:rPr>
                <w:rFonts w:ascii="Times New Roman" w:hAnsi="Times New Roman" w:cs="Times New Roman"/>
                <w:color w:val="000000"/>
                <w:sz w:val="24"/>
                <w:szCs w:val="24"/>
              </w:rPr>
              <w:t> </w:t>
            </w:r>
          </w:p>
        </w:tc>
        <w:tc>
          <w:tcPr>
            <w:tcW w:w="4535" w:type="dxa"/>
            <w:tcBorders>
              <w:top w:val="nil"/>
              <w:left w:val="nil"/>
              <w:bottom w:val="single" w:sz="8" w:space="0" w:color="000000"/>
              <w:right w:val="single" w:sz="8" w:space="0" w:color="000000"/>
            </w:tcBorders>
            <w:hideMark/>
          </w:tcPr>
          <w:p w14:paraId="66C565B0"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xml:space="preserve">...Include a description of how the agency is prepared to respond to the impacts of weather events, natural disasters and is prepared for changing </w:t>
            </w:r>
            <w:proofErr w:type="gramStart"/>
            <w:r>
              <w:rPr>
                <w:rFonts w:ascii="Times New Roman" w:hAnsi="Times New Roman" w:cs="Times New Roman"/>
                <w:color w:val="000000"/>
                <w:sz w:val="24"/>
                <w:szCs w:val="24"/>
              </w:rPr>
              <w:t>conditions;</w:t>
            </w:r>
            <w:proofErr w:type="gramEnd"/>
            <w:r>
              <w:rPr>
                <w:rFonts w:ascii="Times New Roman" w:hAnsi="Times New Roman" w:cs="Times New Roman"/>
                <w:color w:val="000000"/>
                <w:sz w:val="24"/>
                <w:szCs w:val="24"/>
              </w:rPr>
              <w:t> </w:t>
            </w:r>
          </w:p>
          <w:p w14:paraId="3DDAF1BF"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c>
          <w:tcPr>
            <w:tcW w:w="2845" w:type="dxa"/>
            <w:tcBorders>
              <w:top w:val="nil"/>
              <w:left w:val="nil"/>
              <w:bottom w:val="single" w:sz="8" w:space="0" w:color="000000"/>
              <w:right w:val="single" w:sz="8" w:space="0" w:color="000000"/>
            </w:tcBorders>
            <w:hideMark/>
          </w:tcPr>
          <w:p w14:paraId="1378F9F1"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r>
      <w:tr w:rsidR="007C2F2A" w14:paraId="028AB60C" w14:textId="77777777" w:rsidTr="00B1110A">
        <w:tc>
          <w:tcPr>
            <w:tcW w:w="1935" w:type="dxa"/>
            <w:tcBorders>
              <w:top w:val="nil"/>
              <w:left w:val="single" w:sz="8" w:space="0" w:color="000000"/>
              <w:bottom w:val="single" w:sz="8" w:space="0" w:color="000000"/>
              <w:right w:val="single" w:sz="8" w:space="0" w:color="000000"/>
            </w:tcBorders>
            <w:hideMark/>
          </w:tcPr>
          <w:p w14:paraId="1B9D6C59"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Regulatory Framework</w:t>
            </w:r>
            <w:r>
              <w:rPr>
                <w:rFonts w:ascii="Times New Roman" w:hAnsi="Times New Roman" w:cs="Times New Roman"/>
                <w:color w:val="000000"/>
                <w:sz w:val="24"/>
                <w:szCs w:val="24"/>
              </w:rPr>
              <w:t> </w:t>
            </w:r>
          </w:p>
        </w:tc>
        <w:tc>
          <w:tcPr>
            <w:tcW w:w="4535" w:type="dxa"/>
            <w:tcBorders>
              <w:top w:val="nil"/>
              <w:left w:val="nil"/>
              <w:bottom w:val="single" w:sz="8" w:space="0" w:color="000000"/>
              <w:right w:val="single" w:sz="8" w:space="0" w:color="000000"/>
            </w:tcBorders>
            <w:hideMark/>
          </w:tcPr>
          <w:p w14:paraId="0152497C"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xml:space="preserve">...Describe the </w:t>
            </w:r>
            <w:r>
              <w:rPr>
                <w:rFonts w:ascii="Times New Roman" w:hAnsi="Times New Roman" w:cs="Times New Roman"/>
                <w:b/>
                <w:bCs/>
                <w:color w:val="000000"/>
                <w:sz w:val="24"/>
                <w:szCs w:val="24"/>
              </w:rPr>
              <w:t>codes, standards, and regulatory framework</w:t>
            </w:r>
            <w:r>
              <w:rPr>
                <w:rFonts w:ascii="Times New Roman" w:hAnsi="Times New Roman" w:cs="Times New Roman"/>
                <w:color w:val="000000"/>
                <w:sz w:val="24"/>
                <w:szCs w:val="24"/>
              </w:rPr>
              <w:t xml:space="preserve">, adopted and enforced by the agencies, to ensure that resilience improvements within the impacted area of proposed projects that are included in the </w:t>
            </w:r>
            <w:proofErr w:type="gramStart"/>
            <w:r>
              <w:rPr>
                <w:rFonts w:ascii="Times New Roman" w:hAnsi="Times New Roman" w:cs="Times New Roman"/>
                <w:color w:val="000000"/>
                <w:sz w:val="24"/>
                <w:szCs w:val="24"/>
              </w:rPr>
              <w:t>plan;</w:t>
            </w:r>
            <w:proofErr w:type="gramEnd"/>
            <w:r>
              <w:rPr>
                <w:rFonts w:ascii="Times New Roman" w:hAnsi="Times New Roman" w:cs="Times New Roman"/>
                <w:color w:val="000000"/>
                <w:sz w:val="24"/>
                <w:szCs w:val="24"/>
              </w:rPr>
              <w:t> </w:t>
            </w:r>
          </w:p>
          <w:p w14:paraId="4CD9C189"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lastRenderedPageBreak/>
              <w:t> </w:t>
            </w:r>
          </w:p>
        </w:tc>
        <w:tc>
          <w:tcPr>
            <w:tcW w:w="2845" w:type="dxa"/>
            <w:tcBorders>
              <w:top w:val="nil"/>
              <w:left w:val="nil"/>
              <w:bottom w:val="single" w:sz="8" w:space="0" w:color="000000"/>
              <w:right w:val="single" w:sz="8" w:space="0" w:color="000000"/>
            </w:tcBorders>
            <w:hideMark/>
          </w:tcPr>
          <w:p w14:paraId="58E2740B"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lastRenderedPageBreak/>
              <w:t> </w:t>
            </w:r>
          </w:p>
        </w:tc>
      </w:tr>
      <w:tr w:rsidR="007C2F2A" w14:paraId="30FD48D2" w14:textId="77777777" w:rsidTr="00B1110A">
        <w:tc>
          <w:tcPr>
            <w:tcW w:w="1935" w:type="dxa"/>
            <w:tcBorders>
              <w:top w:val="nil"/>
              <w:left w:val="single" w:sz="8" w:space="0" w:color="000000"/>
              <w:bottom w:val="single" w:sz="8" w:space="0" w:color="000000"/>
              <w:right w:val="single" w:sz="8" w:space="0" w:color="000000"/>
            </w:tcBorders>
            <w:hideMark/>
          </w:tcPr>
          <w:p w14:paraId="1E769AFD"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Natural Infrastructure</w:t>
            </w:r>
            <w:r>
              <w:rPr>
                <w:rFonts w:ascii="Times New Roman" w:hAnsi="Times New Roman" w:cs="Times New Roman"/>
                <w:color w:val="000000"/>
                <w:sz w:val="24"/>
                <w:szCs w:val="24"/>
              </w:rPr>
              <w:t> </w:t>
            </w:r>
          </w:p>
        </w:tc>
        <w:tc>
          <w:tcPr>
            <w:tcW w:w="4535" w:type="dxa"/>
            <w:tcBorders>
              <w:top w:val="nil"/>
              <w:left w:val="nil"/>
              <w:bottom w:val="single" w:sz="8" w:space="0" w:color="000000"/>
              <w:right w:val="single" w:sz="8" w:space="0" w:color="000000"/>
            </w:tcBorders>
            <w:hideMark/>
          </w:tcPr>
          <w:p w14:paraId="4724B155"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xml:space="preserve">...Consider the benefits of combining hard surface transportation assets, and </w:t>
            </w:r>
            <w:r>
              <w:rPr>
                <w:rFonts w:ascii="Times New Roman" w:hAnsi="Times New Roman" w:cs="Times New Roman"/>
                <w:b/>
                <w:bCs/>
                <w:color w:val="000000"/>
                <w:sz w:val="24"/>
                <w:szCs w:val="24"/>
              </w:rPr>
              <w:t>natural infrastructure</w:t>
            </w:r>
            <w:r>
              <w:rPr>
                <w:rFonts w:ascii="Times New Roman" w:hAnsi="Times New Roman" w:cs="Times New Roman"/>
                <w:color w:val="000000"/>
                <w:sz w:val="24"/>
                <w:szCs w:val="24"/>
              </w:rPr>
              <w:t xml:space="preserve">, through coordinated efforts by the Federal Government and the </w:t>
            </w:r>
            <w:proofErr w:type="gramStart"/>
            <w:r>
              <w:rPr>
                <w:rFonts w:ascii="Times New Roman" w:hAnsi="Times New Roman" w:cs="Times New Roman"/>
                <w:color w:val="000000"/>
                <w:sz w:val="24"/>
                <w:szCs w:val="24"/>
              </w:rPr>
              <w:t>States;</w:t>
            </w:r>
            <w:proofErr w:type="gramEnd"/>
            <w:r>
              <w:rPr>
                <w:rFonts w:ascii="Times New Roman" w:hAnsi="Times New Roman" w:cs="Times New Roman"/>
                <w:color w:val="000000"/>
                <w:sz w:val="24"/>
                <w:szCs w:val="24"/>
              </w:rPr>
              <w:t> </w:t>
            </w:r>
          </w:p>
          <w:p w14:paraId="65B3D70E"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c>
          <w:tcPr>
            <w:tcW w:w="2845" w:type="dxa"/>
            <w:tcBorders>
              <w:top w:val="nil"/>
              <w:left w:val="nil"/>
              <w:bottom w:val="single" w:sz="8" w:space="0" w:color="000000"/>
              <w:right w:val="single" w:sz="8" w:space="0" w:color="000000"/>
            </w:tcBorders>
            <w:hideMark/>
          </w:tcPr>
          <w:p w14:paraId="3F4E115F"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r>
      <w:tr w:rsidR="007C2F2A" w14:paraId="582B4F46" w14:textId="77777777" w:rsidTr="00B1110A">
        <w:tc>
          <w:tcPr>
            <w:tcW w:w="1935" w:type="dxa"/>
            <w:tcBorders>
              <w:top w:val="nil"/>
              <w:left w:val="single" w:sz="8" w:space="0" w:color="000000"/>
              <w:bottom w:val="single" w:sz="8" w:space="0" w:color="000000"/>
              <w:right w:val="single" w:sz="8" w:space="0" w:color="000000"/>
            </w:tcBorders>
            <w:hideMark/>
          </w:tcPr>
          <w:p w14:paraId="7FDF7BEC"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Community Infrastructure</w:t>
            </w:r>
            <w:r>
              <w:rPr>
                <w:rFonts w:ascii="Times New Roman" w:hAnsi="Times New Roman" w:cs="Times New Roman"/>
                <w:color w:val="000000"/>
                <w:sz w:val="24"/>
                <w:szCs w:val="24"/>
              </w:rPr>
              <w:t> </w:t>
            </w:r>
          </w:p>
        </w:tc>
        <w:tc>
          <w:tcPr>
            <w:tcW w:w="4535" w:type="dxa"/>
            <w:tcBorders>
              <w:top w:val="nil"/>
              <w:left w:val="nil"/>
              <w:bottom w:val="single" w:sz="8" w:space="0" w:color="000000"/>
              <w:right w:val="single" w:sz="8" w:space="0" w:color="000000"/>
            </w:tcBorders>
            <w:hideMark/>
          </w:tcPr>
          <w:p w14:paraId="3BA2128F"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xml:space="preserve">...Assess the resilience of other </w:t>
            </w:r>
            <w:r>
              <w:rPr>
                <w:rFonts w:ascii="Times New Roman" w:hAnsi="Times New Roman" w:cs="Times New Roman"/>
                <w:b/>
                <w:bCs/>
                <w:color w:val="000000"/>
                <w:sz w:val="24"/>
                <w:szCs w:val="24"/>
              </w:rPr>
              <w:t>community assets</w:t>
            </w:r>
            <w:r>
              <w:rPr>
                <w:rFonts w:ascii="Times New Roman" w:hAnsi="Times New Roman" w:cs="Times New Roman"/>
                <w:color w:val="000000"/>
                <w:sz w:val="24"/>
                <w:szCs w:val="24"/>
              </w:rPr>
              <w:t xml:space="preserve">, including buildings and housing, emergency management assets, and energy, water, and communication </w:t>
            </w:r>
            <w:proofErr w:type="gramStart"/>
            <w:r>
              <w:rPr>
                <w:rFonts w:ascii="Times New Roman" w:hAnsi="Times New Roman" w:cs="Times New Roman"/>
                <w:color w:val="000000"/>
                <w:sz w:val="24"/>
                <w:szCs w:val="24"/>
              </w:rPr>
              <w:t>infrastructure;</w:t>
            </w:r>
            <w:proofErr w:type="gramEnd"/>
            <w:r>
              <w:rPr>
                <w:rFonts w:ascii="Times New Roman" w:hAnsi="Times New Roman" w:cs="Times New Roman"/>
                <w:color w:val="000000"/>
                <w:sz w:val="24"/>
                <w:szCs w:val="24"/>
              </w:rPr>
              <w:t> </w:t>
            </w:r>
          </w:p>
          <w:p w14:paraId="53AEBB4F"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c>
          <w:tcPr>
            <w:tcW w:w="2845" w:type="dxa"/>
            <w:tcBorders>
              <w:top w:val="nil"/>
              <w:left w:val="nil"/>
              <w:bottom w:val="single" w:sz="8" w:space="0" w:color="000000"/>
              <w:right w:val="single" w:sz="8" w:space="0" w:color="000000"/>
            </w:tcBorders>
            <w:hideMark/>
          </w:tcPr>
          <w:p w14:paraId="7154AADA"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r>
      <w:tr w:rsidR="007C2F2A" w14:paraId="1F46C6D7" w14:textId="77777777" w:rsidTr="00B1110A">
        <w:tc>
          <w:tcPr>
            <w:tcW w:w="1935" w:type="dxa"/>
            <w:tcBorders>
              <w:top w:val="nil"/>
              <w:left w:val="single" w:sz="8" w:space="0" w:color="000000"/>
              <w:bottom w:val="single" w:sz="8" w:space="0" w:color="000000"/>
              <w:right w:val="single" w:sz="8" w:space="0" w:color="000000"/>
            </w:tcBorders>
            <w:hideMark/>
          </w:tcPr>
          <w:p w14:paraId="108D27CB"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 xml:space="preserve">Other </w:t>
            </w:r>
            <w:r>
              <w:rPr>
                <w:rFonts w:ascii="Times New Roman" w:hAnsi="Times New Roman" w:cs="Times New Roman"/>
                <w:color w:val="000000"/>
                <w:sz w:val="24"/>
                <w:szCs w:val="24"/>
              </w:rPr>
              <w:t> </w:t>
            </w:r>
          </w:p>
        </w:tc>
        <w:tc>
          <w:tcPr>
            <w:tcW w:w="4535" w:type="dxa"/>
            <w:tcBorders>
              <w:top w:val="nil"/>
              <w:left w:val="nil"/>
              <w:bottom w:val="single" w:sz="8" w:space="0" w:color="000000"/>
              <w:right w:val="single" w:sz="8" w:space="0" w:color="000000"/>
            </w:tcBorders>
            <w:hideMark/>
          </w:tcPr>
          <w:p w14:paraId="123C57C9"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...Include such other information as the State or metropolitan planning organization considers appropriate </w:t>
            </w:r>
          </w:p>
        </w:tc>
        <w:tc>
          <w:tcPr>
            <w:tcW w:w="2845" w:type="dxa"/>
            <w:tcBorders>
              <w:top w:val="nil"/>
              <w:left w:val="nil"/>
              <w:bottom w:val="single" w:sz="8" w:space="0" w:color="000000"/>
              <w:right w:val="single" w:sz="8" w:space="0" w:color="000000"/>
            </w:tcBorders>
            <w:hideMark/>
          </w:tcPr>
          <w:p w14:paraId="300086F9"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r>
      <w:tr w:rsidR="007C2F2A" w14:paraId="714D73C4" w14:textId="77777777" w:rsidTr="00B1110A">
        <w:tc>
          <w:tcPr>
            <w:tcW w:w="1935" w:type="dxa"/>
            <w:tcBorders>
              <w:top w:val="nil"/>
              <w:left w:val="single" w:sz="8" w:space="0" w:color="000000"/>
              <w:bottom w:val="single" w:sz="8" w:space="0" w:color="000000"/>
              <w:right w:val="single" w:sz="8" w:space="0" w:color="000000"/>
            </w:tcBorders>
            <w:shd w:val="clear" w:color="auto" w:fill="E7E6E6"/>
            <w:hideMark/>
          </w:tcPr>
          <w:p w14:paraId="7946EB69" w14:textId="77777777" w:rsidR="007C2F2A" w:rsidRDefault="007C2F2A">
            <w:pPr>
              <w:textAlignment w:val="baseline"/>
              <w:rPr>
                <w:rFonts w:ascii="Segoe UI" w:hAnsi="Segoe UI" w:cs="Segoe UI"/>
                <w:sz w:val="18"/>
                <w:szCs w:val="18"/>
              </w:rPr>
            </w:pPr>
            <w:r>
              <w:rPr>
                <w:rFonts w:ascii="Times New Roman" w:hAnsi="Times New Roman" w:cs="Times New Roman"/>
                <w:b/>
                <w:bCs/>
                <w:i/>
                <w:iCs/>
                <w:color w:val="000000"/>
                <w:sz w:val="24"/>
                <w:szCs w:val="24"/>
              </w:rPr>
              <w:t xml:space="preserve">May </w:t>
            </w:r>
            <w:proofErr w:type="gramStart"/>
            <w:r>
              <w:rPr>
                <w:rFonts w:ascii="Times New Roman" w:hAnsi="Times New Roman" w:cs="Times New Roman"/>
                <w:b/>
                <w:bCs/>
                <w:i/>
                <w:iCs/>
                <w:color w:val="000000"/>
                <w:sz w:val="24"/>
                <w:szCs w:val="24"/>
              </w:rPr>
              <w:t>also..</w:t>
            </w:r>
            <w:proofErr w:type="gramEnd"/>
            <w:r>
              <w:rPr>
                <w:rFonts w:ascii="Times New Roman" w:hAnsi="Times New Roman" w:cs="Times New Roman"/>
                <w:b/>
                <w:bCs/>
                <w:i/>
                <w:iCs/>
                <w:color w:val="000000"/>
                <w:sz w:val="24"/>
                <w:szCs w:val="24"/>
              </w:rPr>
              <w:t xml:space="preserve"> </w:t>
            </w:r>
            <w:r>
              <w:rPr>
                <w:rFonts w:ascii="Times New Roman" w:hAnsi="Times New Roman" w:cs="Times New Roman"/>
                <w:color w:val="000000"/>
                <w:sz w:val="24"/>
                <w:szCs w:val="24"/>
              </w:rPr>
              <w:t> </w:t>
            </w:r>
          </w:p>
        </w:tc>
        <w:tc>
          <w:tcPr>
            <w:tcW w:w="4535" w:type="dxa"/>
            <w:tcBorders>
              <w:top w:val="nil"/>
              <w:left w:val="nil"/>
              <w:bottom w:val="single" w:sz="8" w:space="0" w:color="000000"/>
              <w:right w:val="single" w:sz="8" w:space="0" w:color="000000"/>
            </w:tcBorders>
            <w:shd w:val="clear" w:color="auto" w:fill="E7E6E6"/>
            <w:hideMark/>
          </w:tcPr>
          <w:p w14:paraId="30C21C06"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c>
          <w:tcPr>
            <w:tcW w:w="2845" w:type="dxa"/>
            <w:tcBorders>
              <w:top w:val="nil"/>
              <w:left w:val="nil"/>
              <w:bottom w:val="single" w:sz="8" w:space="0" w:color="000000"/>
              <w:right w:val="single" w:sz="8" w:space="0" w:color="000000"/>
            </w:tcBorders>
            <w:shd w:val="clear" w:color="auto" w:fill="E7E6E6"/>
            <w:hideMark/>
          </w:tcPr>
          <w:p w14:paraId="21B9D5D8"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r>
      <w:tr w:rsidR="007C2F2A" w14:paraId="54A64737" w14:textId="77777777" w:rsidTr="00B1110A">
        <w:tc>
          <w:tcPr>
            <w:tcW w:w="1935" w:type="dxa"/>
            <w:tcBorders>
              <w:top w:val="nil"/>
              <w:left w:val="single" w:sz="8" w:space="0" w:color="000000"/>
              <w:bottom w:val="single" w:sz="8" w:space="0" w:color="000000"/>
              <w:right w:val="single" w:sz="8" w:space="0" w:color="000000"/>
            </w:tcBorders>
            <w:hideMark/>
          </w:tcPr>
          <w:p w14:paraId="435F1E2A"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Evacuation Routes</w:t>
            </w:r>
            <w:r>
              <w:rPr>
                <w:rFonts w:ascii="Times New Roman" w:hAnsi="Times New Roman" w:cs="Times New Roman"/>
                <w:color w:val="000000"/>
                <w:sz w:val="24"/>
                <w:szCs w:val="24"/>
              </w:rPr>
              <w:t> </w:t>
            </w:r>
          </w:p>
        </w:tc>
        <w:tc>
          <w:tcPr>
            <w:tcW w:w="4535" w:type="dxa"/>
            <w:tcBorders>
              <w:top w:val="nil"/>
              <w:left w:val="nil"/>
              <w:bottom w:val="single" w:sz="8" w:space="0" w:color="000000"/>
              <w:right w:val="single" w:sz="8" w:space="0" w:color="000000"/>
            </w:tcBorders>
            <w:hideMark/>
          </w:tcPr>
          <w:p w14:paraId="331503C1"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xml:space="preserve">...Designate </w:t>
            </w:r>
            <w:r>
              <w:rPr>
                <w:rFonts w:ascii="Times New Roman" w:hAnsi="Times New Roman" w:cs="Times New Roman"/>
                <w:b/>
                <w:bCs/>
                <w:color w:val="000000"/>
                <w:sz w:val="24"/>
                <w:szCs w:val="24"/>
              </w:rPr>
              <w:t>evacuation routes and strategies</w:t>
            </w:r>
            <w:r>
              <w:rPr>
                <w:rFonts w:ascii="Times New Roman" w:hAnsi="Times New Roman" w:cs="Times New Roman"/>
                <w:color w:val="000000"/>
                <w:sz w:val="24"/>
                <w:szCs w:val="24"/>
              </w:rPr>
              <w:t xml:space="preserve">, including multimodal facilities, designated with consideration for individuals without access to personal </w:t>
            </w:r>
            <w:proofErr w:type="gramStart"/>
            <w:r>
              <w:rPr>
                <w:rFonts w:ascii="Times New Roman" w:hAnsi="Times New Roman" w:cs="Times New Roman"/>
                <w:color w:val="000000"/>
                <w:sz w:val="24"/>
                <w:szCs w:val="24"/>
              </w:rPr>
              <w:t>vehicles;</w:t>
            </w:r>
            <w:proofErr w:type="gramEnd"/>
            <w:r>
              <w:rPr>
                <w:rFonts w:ascii="Times New Roman" w:hAnsi="Times New Roman" w:cs="Times New Roman"/>
                <w:color w:val="000000"/>
                <w:sz w:val="24"/>
                <w:szCs w:val="24"/>
              </w:rPr>
              <w:t> </w:t>
            </w:r>
          </w:p>
          <w:p w14:paraId="483DDC6D"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c>
          <w:tcPr>
            <w:tcW w:w="2845" w:type="dxa"/>
            <w:tcBorders>
              <w:top w:val="nil"/>
              <w:left w:val="nil"/>
              <w:bottom w:val="single" w:sz="8" w:space="0" w:color="000000"/>
              <w:right w:val="single" w:sz="8" w:space="0" w:color="000000"/>
            </w:tcBorders>
            <w:hideMark/>
          </w:tcPr>
          <w:p w14:paraId="083E2F39"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r>
      <w:tr w:rsidR="007C2F2A" w14:paraId="5EC4DEF5" w14:textId="77777777" w:rsidTr="00B1110A">
        <w:tc>
          <w:tcPr>
            <w:tcW w:w="1935" w:type="dxa"/>
            <w:tcBorders>
              <w:top w:val="nil"/>
              <w:left w:val="single" w:sz="8" w:space="0" w:color="000000"/>
              <w:bottom w:val="single" w:sz="8" w:space="0" w:color="000000"/>
              <w:right w:val="single" w:sz="8" w:space="0" w:color="000000"/>
            </w:tcBorders>
            <w:hideMark/>
          </w:tcPr>
          <w:p w14:paraId="0A06FAF3"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Emergency Response</w:t>
            </w:r>
            <w:r>
              <w:rPr>
                <w:rFonts w:ascii="Times New Roman" w:hAnsi="Times New Roman" w:cs="Times New Roman"/>
                <w:color w:val="000000"/>
                <w:sz w:val="24"/>
                <w:szCs w:val="24"/>
              </w:rPr>
              <w:t> </w:t>
            </w:r>
          </w:p>
        </w:tc>
        <w:tc>
          <w:tcPr>
            <w:tcW w:w="4535" w:type="dxa"/>
            <w:tcBorders>
              <w:top w:val="nil"/>
              <w:left w:val="nil"/>
              <w:bottom w:val="single" w:sz="8" w:space="0" w:color="000000"/>
              <w:right w:val="single" w:sz="8" w:space="0" w:color="000000"/>
            </w:tcBorders>
            <w:hideMark/>
          </w:tcPr>
          <w:p w14:paraId="48D5FA51"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xml:space="preserve">...Plan for </w:t>
            </w:r>
            <w:r>
              <w:rPr>
                <w:rFonts w:ascii="Times New Roman" w:hAnsi="Times New Roman" w:cs="Times New Roman"/>
                <w:b/>
                <w:bCs/>
                <w:color w:val="000000"/>
                <w:sz w:val="24"/>
                <w:szCs w:val="24"/>
              </w:rPr>
              <w:t>response</w:t>
            </w:r>
            <w:r>
              <w:rPr>
                <w:rFonts w:ascii="Times New Roman" w:hAnsi="Times New Roman" w:cs="Times New Roman"/>
                <w:color w:val="000000"/>
                <w:sz w:val="24"/>
                <w:szCs w:val="24"/>
              </w:rPr>
              <w:t xml:space="preserve"> to anticipated emergencies, including plans for the mobility of emergency response personnel and equipment and access to emergency services, including for vulnerable or disadvantaged </w:t>
            </w:r>
            <w:proofErr w:type="gramStart"/>
            <w:r>
              <w:rPr>
                <w:rFonts w:ascii="Times New Roman" w:hAnsi="Times New Roman" w:cs="Times New Roman"/>
                <w:color w:val="000000"/>
                <w:sz w:val="24"/>
                <w:szCs w:val="24"/>
              </w:rPr>
              <w:t>populations;</w:t>
            </w:r>
            <w:proofErr w:type="gramEnd"/>
            <w:r>
              <w:rPr>
                <w:rFonts w:ascii="Times New Roman" w:hAnsi="Times New Roman" w:cs="Times New Roman"/>
                <w:color w:val="000000"/>
                <w:sz w:val="24"/>
                <w:szCs w:val="24"/>
              </w:rPr>
              <w:t> </w:t>
            </w:r>
          </w:p>
          <w:p w14:paraId="53F0DE8D"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c>
          <w:tcPr>
            <w:tcW w:w="2845" w:type="dxa"/>
            <w:tcBorders>
              <w:top w:val="nil"/>
              <w:left w:val="nil"/>
              <w:bottom w:val="single" w:sz="8" w:space="0" w:color="000000"/>
              <w:right w:val="single" w:sz="8" w:space="0" w:color="000000"/>
            </w:tcBorders>
            <w:hideMark/>
          </w:tcPr>
          <w:p w14:paraId="5A969AFE"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r>
      <w:tr w:rsidR="007C2F2A" w14:paraId="6324F64C" w14:textId="77777777" w:rsidTr="00B1110A">
        <w:tc>
          <w:tcPr>
            <w:tcW w:w="1935" w:type="dxa"/>
            <w:tcBorders>
              <w:top w:val="nil"/>
              <w:left w:val="single" w:sz="8" w:space="0" w:color="000000"/>
              <w:bottom w:val="single" w:sz="8" w:space="0" w:color="000000"/>
              <w:right w:val="single" w:sz="8" w:space="0" w:color="000000"/>
            </w:tcBorders>
            <w:hideMark/>
          </w:tcPr>
          <w:p w14:paraId="41AA514B"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Resilience-related Policy</w:t>
            </w:r>
            <w:r>
              <w:rPr>
                <w:rFonts w:ascii="Times New Roman" w:hAnsi="Times New Roman" w:cs="Times New Roman"/>
                <w:color w:val="000000"/>
                <w:sz w:val="24"/>
                <w:szCs w:val="24"/>
              </w:rPr>
              <w:t> </w:t>
            </w:r>
          </w:p>
        </w:tc>
        <w:tc>
          <w:tcPr>
            <w:tcW w:w="4535" w:type="dxa"/>
            <w:tcBorders>
              <w:top w:val="nil"/>
              <w:left w:val="nil"/>
              <w:bottom w:val="single" w:sz="8" w:space="0" w:color="000000"/>
              <w:right w:val="single" w:sz="8" w:space="0" w:color="000000"/>
            </w:tcBorders>
            <w:hideMark/>
          </w:tcPr>
          <w:p w14:paraId="3DFD807D"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xml:space="preserve">...Describe the resilience improvement policies, including strategies, land-use and zoning changes, investments in natural infrastructure, or performance measures that will inform the transportation investment decisions of the State or metropolitan planning organization with the goal of increasing </w:t>
            </w:r>
            <w:proofErr w:type="gramStart"/>
            <w:r>
              <w:rPr>
                <w:rFonts w:ascii="Times New Roman" w:hAnsi="Times New Roman" w:cs="Times New Roman"/>
                <w:color w:val="000000"/>
                <w:sz w:val="24"/>
                <w:szCs w:val="24"/>
              </w:rPr>
              <w:t>resilience;</w:t>
            </w:r>
            <w:proofErr w:type="gramEnd"/>
            <w:r>
              <w:rPr>
                <w:rFonts w:ascii="Times New Roman" w:hAnsi="Times New Roman" w:cs="Times New Roman"/>
                <w:color w:val="000000"/>
                <w:sz w:val="24"/>
                <w:szCs w:val="24"/>
              </w:rPr>
              <w:t> </w:t>
            </w:r>
          </w:p>
          <w:p w14:paraId="413717DF"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c>
          <w:tcPr>
            <w:tcW w:w="2845" w:type="dxa"/>
            <w:tcBorders>
              <w:top w:val="nil"/>
              <w:left w:val="nil"/>
              <w:bottom w:val="single" w:sz="8" w:space="0" w:color="000000"/>
              <w:right w:val="single" w:sz="8" w:space="0" w:color="000000"/>
            </w:tcBorders>
            <w:hideMark/>
          </w:tcPr>
          <w:p w14:paraId="799BA564"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r>
      <w:tr w:rsidR="007C2F2A" w14:paraId="298E60E7" w14:textId="77777777" w:rsidTr="00B1110A">
        <w:tc>
          <w:tcPr>
            <w:tcW w:w="1935" w:type="dxa"/>
            <w:tcBorders>
              <w:top w:val="nil"/>
              <w:left w:val="single" w:sz="8" w:space="0" w:color="000000"/>
              <w:bottom w:val="single" w:sz="8" w:space="0" w:color="000000"/>
              <w:right w:val="single" w:sz="8" w:space="0" w:color="000000"/>
            </w:tcBorders>
            <w:hideMark/>
          </w:tcPr>
          <w:p w14:paraId="1C099CF3"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Investment plan &amp; priority projects</w:t>
            </w:r>
            <w:r>
              <w:rPr>
                <w:rFonts w:ascii="Times New Roman" w:hAnsi="Times New Roman" w:cs="Times New Roman"/>
                <w:color w:val="000000"/>
                <w:sz w:val="24"/>
                <w:szCs w:val="24"/>
              </w:rPr>
              <w:t> </w:t>
            </w:r>
          </w:p>
        </w:tc>
        <w:tc>
          <w:tcPr>
            <w:tcW w:w="4535" w:type="dxa"/>
            <w:tcBorders>
              <w:top w:val="nil"/>
              <w:left w:val="nil"/>
              <w:bottom w:val="single" w:sz="8" w:space="0" w:color="000000"/>
              <w:right w:val="single" w:sz="8" w:space="0" w:color="000000"/>
            </w:tcBorders>
            <w:hideMark/>
          </w:tcPr>
          <w:p w14:paraId="37D6D9DD"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...Include an investment plan that includes a list of priority projects and describes how funds apportioned to the State under section 104(b)(8), or provided by a grant under the PROTECT program would be invested and matched, which shall not be subject to fiscal constraint requirements; </w:t>
            </w:r>
          </w:p>
        </w:tc>
        <w:tc>
          <w:tcPr>
            <w:tcW w:w="2845" w:type="dxa"/>
            <w:tcBorders>
              <w:top w:val="nil"/>
              <w:left w:val="nil"/>
              <w:bottom w:val="single" w:sz="8" w:space="0" w:color="000000"/>
              <w:right w:val="single" w:sz="8" w:space="0" w:color="000000"/>
            </w:tcBorders>
            <w:hideMark/>
          </w:tcPr>
          <w:p w14:paraId="4870C6FB" w14:textId="77777777" w:rsidR="007C2F2A" w:rsidRDefault="007C2F2A">
            <w:pPr>
              <w:rPr>
                <w:rFonts w:ascii="Segoe UI" w:hAnsi="Segoe UI" w:cs="Segoe UI"/>
                <w:sz w:val="18"/>
                <w:szCs w:val="18"/>
              </w:rPr>
            </w:pPr>
          </w:p>
        </w:tc>
      </w:tr>
      <w:tr w:rsidR="007C2F2A" w14:paraId="0A7B83B5" w14:textId="77777777" w:rsidTr="00B1110A">
        <w:tc>
          <w:tcPr>
            <w:tcW w:w="1935" w:type="dxa"/>
            <w:tcBorders>
              <w:top w:val="nil"/>
              <w:left w:val="single" w:sz="8" w:space="0" w:color="000000"/>
              <w:bottom w:val="single" w:sz="8" w:space="0" w:color="000000"/>
              <w:right w:val="single" w:sz="8" w:space="0" w:color="000000"/>
            </w:tcBorders>
            <w:hideMark/>
          </w:tcPr>
          <w:p w14:paraId="56284FF7" w14:textId="77777777" w:rsidR="007C2F2A" w:rsidRDefault="007C2F2A">
            <w:pPr>
              <w:textAlignment w:val="baseline"/>
              <w:rPr>
                <w:rFonts w:ascii="Segoe UI" w:hAnsi="Segoe UI" w:cs="Segoe UI"/>
                <w:sz w:val="18"/>
                <w:szCs w:val="18"/>
              </w:rPr>
            </w:pPr>
            <w:r>
              <w:rPr>
                <w:rFonts w:ascii="Times New Roman" w:hAnsi="Times New Roman" w:cs="Times New Roman"/>
                <w:b/>
                <w:bCs/>
                <w:color w:val="000000"/>
                <w:sz w:val="24"/>
                <w:szCs w:val="24"/>
              </w:rPr>
              <w:t>Supporting science and data</w:t>
            </w:r>
            <w:r>
              <w:rPr>
                <w:rFonts w:ascii="Times New Roman" w:hAnsi="Times New Roman" w:cs="Times New Roman"/>
                <w:color w:val="000000"/>
                <w:sz w:val="24"/>
                <w:szCs w:val="24"/>
              </w:rPr>
              <w:t> </w:t>
            </w:r>
          </w:p>
        </w:tc>
        <w:tc>
          <w:tcPr>
            <w:tcW w:w="4535" w:type="dxa"/>
            <w:tcBorders>
              <w:top w:val="nil"/>
              <w:left w:val="nil"/>
              <w:bottom w:val="single" w:sz="8" w:space="0" w:color="000000"/>
              <w:right w:val="single" w:sz="8" w:space="0" w:color="000000"/>
            </w:tcBorders>
            <w:hideMark/>
          </w:tcPr>
          <w:p w14:paraId="63908C99"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Use science and data and indicate the source of data and methodologies </w:t>
            </w:r>
          </w:p>
          <w:p w14:paraId="3B6EA991"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c>
          <w:tcPr>
            <w:tcW w:w="2845" w:type="dxa"/>
            <w:tcBorders>
              <w:top w:val="nil"/>
              <w:left w:val="nil"/>
              <w:bottom w:val="single" w:sz="8" w:space="0" w:color="000000"/>
              <w:right w:val="single" w:sz="8" w:space="0" w:color="000000"/>
            </w:tcBorders>
            <w:hideMark/>
          </w:tcPr>
          <w:p w14:paraId="1F6BED4E" w14:textId="77777777" w:rsidR="007C2F2A" w:rsidRDefault="007C2F2A">
            <w:pPr>
              <w:textAlignment w:val="baseline"/>
              <w:rPr>
                <w:rFonts w:ascii="Segoe UI" w:hAnsi="Segoe UI" w:cs="Segoe UI"/>
                <w:sz w:val="18"/>
                <w:szCs w:val="18"/>
              </w:rPr>
            </w:pPr>
            <w:r>
              <w:rPr>
                <w:rFonts w:ascii="Times New Roman" w:hAnsi="Times New Roman" w:cs="Times New Roman"/>
                <w:color w:val="000000"/>
                <w:sz w:val="24"/>
                <w:szCs w:val="24"/>
              </w:rPr>
              <w:t> </w:t>
            </w:r>
          </w:p>
        </w:tc>
      </w:tr>
    </w:tbl>
    <w:p w14:paraId="56F2063C" w14:textId="77777777" w:rsidR="009943B2" w:rsidRDefault="009943B2"/>
    <w:sectPr w:rsidR="009943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AEF6" w14:textId="77777777" w:rsidR="00091E49" w:rsidRDefault="00091E49" w:rsidP="0071155C">
      <w:r>
        <w:separator/>
      </w:r>
    </w:p>
  </w:endnote>
  <w:endnote w:type="continuationSeparator" w:id="0">
    <w:p w14:paraId="66E6EE9A" w14:textId="77777777" w:rsidR="00091E49" w:rsidRDefault="00091E49" w:rsidP="0071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ECF26" w14:textId="77777777" w:rsidR="00091E49" w:rsidRDefault="00091E49" w:rsidP="0071155C">
      <w:r>
        <w:separator/>
      </w:r>
    </w:p>
  </w:footnote>
  <w:footnote w:type="continuationSeparator" w:id="0">
    <w:p w14:paraId="6C81049F" w14:textId="77777777" w:rsidR="00091E49" w:rsidRDefault="00091E49" w:rsidP="0071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F647" w14:textId="7853EAE0" w:rsidR="0071155C" w:rsidRDefault="0071155C" w:rsidP="00711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253B"/>
    <w:multiLevelType w:val="hybridMultilevel"/>
    <w:tmpl w:val="8F0E9268"/>
    <w:lvl w:ilvl="0" w:tplc="43AA33AA">
      <w:numFmt w:val="bullet"/>
      <w:lvlText w:val="-"/>
      <w:lvlJc w:val="left"/>
      <w:pPr>
        <w:ind w:left="411" w:hanging="360"/>
      </w:pPr>
      <w:rPr>
        <w:rFonts w:ascii="Segoe UI" w:eastAsia="Times New Roman" w:hAnsi="Segoe UI" w:cs="Segoe UI" w:hint="default"/>
      </w:rPr>
    </w:lvl>
    <w:lvl w:ilvl="1" w:tplc="04090003">
      <w:start w:val="1"/>
      <w:numFmt w:val="bullet"/>
      <w:lvlText w:val="o"/>
      <w:lvlJc w:val="left"/>
      <w:pPr>
        <w:ind w:left="1131" w:hanging="360"/>
      </w:pPr>
      <w:rPr>
        <w:rFonts w:ascii="Courier New" w:hAnsi="Courier New" w:cs="Courier New" w:hint="default"/>
      </w:rPr>
    </w:lvl>
    <w:lvl w:ilvl="2" w:tplc="04090005">
      <w:start w:val="1"/>
      <w:numFmt w:val="bullet"/>
      <w:lvlText w:val=""/>
      <w:lvlJc w:val="left"/>
      <w:pPr>
        <w:ind w:left="1851" w:hanging="360"/>
      </w:pPr>
      <w:rPr>
        <w:rFonts w:ascii="Wingdings" w:hAnsi="Wingdings" w:hint="default"/>
      </w:rPr>
    </w:lvl>
    <w:lvl w:ilvl="3" w:tplc="04090001">
      <w:start w:val="1"/>
      <w:numFmt w:val="bullet"/>
      <w:lvlText w:val=""/>
      <w:lvlJc w:val="left"/>
      <w:pPr>
        <w:ind w:left="2571" w:hanging="360"/>
      </w:pPr>
      <w:rPr>
        <w:rFonts w:ascii="Symbol" w:hAnsi="Symbol" w:hint="default"/>
      </w:rPr>
    </w:lvl>
    <w:lvl w:ilvl="4" w:tplc="04090003">
      <w:start w:val="1"/>
      <w:numFmt w:val="bullet"/>
      <w:lvlText w:val="o"/>
      <w:lvlJc w:val="left"/>
      <w:pPr>
        <w:ind w:left="3291" w:hanging="360"/>
      </w:pPr>
      <w:rPr>
        <w:rFonts w:ascii="Courier New" w:hAnsi="Courier New" w:cs="Courier New" w:hint="default"/>
      </w:rPr>
    </w:lvl>
    <w:lvl w:ilvl="5" w:tplc="04090005">
      <w:start w:val="1"/>
      <w:numFmt w:val="bullet"/>
      <w:lvlText w:val=""/>
      <w:lvlJc w:val="left"/>
      <w:pPr>
        <w:ind w:left="4011" w:hanging="360"/>
      </w:pPr>
      <w:rPr>
        <w:rFonts w:ascii="Wingdings" w:hAnsi="Wingdings" w:hint="default"/>
      </w:rPr>
    </w:lvl>
    <w:lvl w:ilvl="6" w:tplc="04090001">
      <w:start w:val="1"/>
      <w:numFmt w:val="bullet"/>
      <w:lvlText w:val=""/>
      <w:lvlJc w:val="left"/>
      <w:pPr>
        <w:ind w:left="4731" w:hanging="360"/>
      </w:pPr>
      <w:rPr>
        <w:rFonts w:ascii="Symbol" w:hAnsi="Symbol" w:hint="default"/>
      </w:rPr>
    </w:lvl>
    <w:lvl w:ilvl="7" w:tplc="04090003">
      <w:start w:val="1"/>
      <w:numFmt w:val="bullet"/>
      <w:lvlText w:val="o"/>
      <w:lvlJc w:val="left"/>
      <w:pPr>
        <w:ind w:left="5451" w:hanging="360"/>
      </w:pPr>
      <w:rPr>
        <w:rFonts w:ascii="Courier New" w:hAnsi="Courier New" w:cs="Courier New" w:hint="default"/>
      </w:rPr>
    </w:lvl>
    <w:lvl w:ilvl="8" w:tplc="04090005">
      <w:start w:val="1"/>
      <w:numFmt w:val="bullet"/>
      <w:lvlText w:val=""/>
      <w:lvlJc w:val="left"/>
      <w:pPr>
        <w:ind w:left="6171" w:hanging="360"/>
      </w:pPr>
      <w:rPr>
        <w:rFonts w:ascii="Wingdings" w:hAnsi="Wingdings" w:hint="default"/>
      </w:rPr>
    </w:lvl>
  </w:abstractNum>
  <w:abstractNum w:abstractNumId="1" w15:restartNumberingAfterBreak="0">
    <w:nsid w:val="4C1F7751"/>
    <w:multiLevelType w:val="hybridMultilevel"/>
    <w:tmpl w:val="4EB01C1A"/>
    <w:lvl w:ilvl="0" w:tplc="B8A668D6">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F2A"/>
    <w:rsid w:val="00091E49"/>
    <w:rsid w:val="00193F54"/>
    <w:rsid w:val="002119D5"/>
    <w:rsid w:val="00435F0C"/>
    <w:rsid w:val="0071155C"/>
    <w:rsid w:val="007C2F2A"/>
    <w:rsid w:val="00893DAD"/>
    <w:rsid w:val="00895E41"/>
    <w:rsid w:val="009943B2"/>
    <w:rsid w:val="00B1110A"/>
    <w:rsid w:val="00E1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63EB"/>
  <w15:chartTrackingRefBased/>
  <w15:docId w15:val="{F6709704-4120-4D26-8256-83EB1AE5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F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F2A"/>
    <w:pPr>
      <w:spacing w:after="160" w:line="252" w:lineRule="auto"/>
      <w:ind w:left="720"/>
      <w:contextualSpacing/>
    </w:pPr>
  </w:style>
  <w:style w:type="paragraph" w:styleId="Header">
    <w:name w:val="header"/>
    <w:basedOn w:val="Normal"/>
    <w:link w:val="HeaderChar"/>
    <w:uiPriority w:val="99"/>
    <w:unhideWhenUsed/>
    <w:rsid w:val="0071155C"/>
    <w:pPr>
      <w:tabs>
        <w:tab w:val="center" w:pos="4680"/>
        <w:tab w:val="right" w:pos="9360"/>
      </w:tabs>
    </w:pPr>
  </w:style>
  <w:style w:type="character" w:customStyle="1" w:styleId="HeaderChar">
    <w:name w:val="Header Char"/>
    <w:basedOn w:val="DefaultParagraphFont"/>
    <w:link w:val="Header"/>
    <w:uiPriority w:val="99"/>
    <w:rsid w:val="0071155C"/>
    <w:rPr>
      <w:rFonts w:ascii="Calibri" w:hAnsi="Calibri" w:cs="Calibri"/>
    </w:rPr>
  </w:style>
  <w:style w:type="paragraph" w:styleId="Footer">
    <w:name w:val="footer"/>
    <w:basedOn w:val="Normal"/>
    <w:link w:val="FooterChar"/>
    <w:uiPriority w:val="99"/>
    <w:unhideWhenUsed/>
    <w:rsid w:val="0071155C"/>
    <w:pPr>
      <w:tabs>
        <w:tab w:val="center" w:pos="4680"/>
        <w:tab w:val="right" w:pos="9360"/>
      </w:tabs>
    </w:pPr>
  </w:style>
  <w:style w:type="character" w:customStyle="1" w:styleId="FooterChar">
    <w:name w:val="Footer Char"/>
    <w:basedOn w:val="DefaultParagraphFont"/>
    <w:link w:val="Footer"/>
    <w:uiPriority w:val="99"/>
    <w:rsid w:val="0071155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 Eva (FHWA)</dc:creator>
  <cp:keywords/>
  <dc:description/>
  <cp:lastModifiedBy>Birk, Eva (FHWA)</cp:lastModifiedBy>
  <cp:revision>5</cp:revision>
  <dcterms:created xsi:type="dcterms:W3CDTF">2023-01-10T15:26:00Z</dcterms:created>
  <dcterms:modified xsi:type="dcterms:W3CDTF">2023-01-11T22:38:00Z</dcterms:modified>
</cp:coreProperties>
</file>